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5D29" w14:textId="4DBE73EE" w:rsidR="009D023E" w:rsidRPr="00D9240F" w:rsidRDefault="00D9240F" w:rsidP="00D9240F">
      <w:pPr>
        <w:pStyle w:val="Titre1"/>
        <w:jc w:val="center"/>
        <w:rPr>
          <w:b/>
          <w:bCs/>
          <w:color w:val="1F3864" w:themeColor="accent1" w:themeShade="80"/>
        </w:rPr>
      </w:pPr>
      <w:r w:rsidRPr="00D9240F">
        <w:rPr>
          <w:b/>
          <w:bCs/>
          <w:color w:val="1F3864" w:themeColor="accent1" w:themeShade="80"/>
        </w:rPr>
        <w:t>CROSS</w:t>
      </w:r>
      <w:r w:rsidR="00087493">
        <w:rPr>
          <w:b/>
          <w:bCs/>
          <w:color w:val="1F3864" w:themeColor="accent1" w:themeShade="80"/>
        </w:rPr>
        <w:t>-</w:t>
      </w:r>
      <w:r w:rsidRPr="00D9240F">
        <w:rPr>
          <w:b/>
          <w:bCs/>
          <w:color w:val="1F3864" w:themeColor="accent1" w:themeShade="80"/>
        </w:rPr>
        <w:t>DISCIPLINARY PRO</w:t>
      </w:r>
      <w:r w:rsidR="00B02DA0">
        <w:rPr>
          <w:b/>
          <w:bCs/>
          <w:color w:val="1F3864" w:themeColor="accent1" w:themeShade="80"/>
        </w:rPr>
        <w:t>JECTS</w:t>
      </w:r>
    </w:p>
    <w:p w14:paraId="67EE49C0" w14:textId="0EB8A412" w:rsidR="005E385A" w:rsidRPr="00D9240F" w:rsidRDefault="00D9240F" w:rsidP="00D9240F">
      <w:pPr>
        <w:pStyle w:val="Titre2"/>
        <w:jc w:val="center"/>
        <w:rPr>
          <w:b/>
          <w:bCs/>
        </w:rPr>
      </w:pPr>
      <w:r w:rsidRPr="00D9240F">
        <w:rPr>
          <w:b/>
          <w:bCs/>
        </w:rPr>
        <w:t>APPEL A MANIFESTATION D’INTERET</w:t>
      </w:r>
    </w:p>
    <w:p w14:paraId="77E9FD27" w14:textId="77777777" w:rsidR="00413399" w:rsidRDefault="00413399" w:rsidP="00D9240F">
      <w:pPr>
        <w:jc w:val="both"/>
      </w:pPr>
    </w:p>
    <w:p w14:paraId="3F1BED36" w14:textId="79BD8D7D" w:rsidR="0060786E" w:rsidRPr="008A41D8" w:rsidRDefault="0060786E" w:rsidP="00D9240F">
      <w:pPr>
        <w:jc w:val="both"/>
      </w:pPr>
      <w:r w:rsidRPr="008A41D8">
        <w:t xml:space="preserve">L’Université de Lille a choisi de placer au cœur de sa stratégie scientifique </w:t>
      </w:r>
      <w:r w:rsidR="009624EA" w:rsidRPr="008A41D8">
        <w:t>les enjeux liés aux transitions contemporaines</w:t>
      </w:r>
      <w:r w:rsidR="009609F0" w:rsidRPr="008A41D8">
        <w:t xml:space="preserve"> (sociétales, économi</w:t>
      </w:r>
      <w:bookmarkStart w:id="0" w:name="_GoBack"/>
      <w:bookmarkEnd w:id="0"/>
      <w:r w:rsidR="009609F0" w:rsidRPr="008A41D8">
        <w:t>ques, technologiques, écologiques…)</w:t>
      </w:r>
      <w:r w:rsidR="009624EA" w:rsidRPr="008A41D8">
        <w:t xml:space="preserve">. Pour y répondre, elle organise ses actions autour de </w:t>
      </w:r>
      <w:r w:rsidR="00F07BB0" w:rsidRPr="008A41D8">
        <w:t xml:space="preserve">4 hubs, </w:t>
      </w:r>
      <w:r w:rsidR="008F59F9" w:rsidRPr="008A41D8">
        <w:t xml:space="preserve">pôles thématiques </w:t>
      </w:r>
      <w:r w:rsidR="00F07BB0" w:rsidRPr="008A41D8">
        <w:t xml:space="preserve">d’excellence, </w:t>
      </w:r>
      <w:r w:rsidR="008F59F9" w:rsidRPr="008A41D8">
        <w:t>associant</w:t>
      </w:r>
      <w:r w:rsidR="00F07BB0" w:rsidRPr="008A41D8">
        <w:t xml:space="preserve"> étroitement recherche</w:t>
      </w:r>
      <w:r w:rsidR="0044329C" w:rsidRPr="008A41D8">
        <w:t>, formation</w:t>
      </w:r>
      <w:r w:rsidR="00F07BB0" w:rsidRPr="008A41D8">
        <w:t xml:space="preserve"> et </w:t>
      </w:r>
      <w:r w:rsidR="00782D96" w:rsidRPr="008A41D8">
        <w:t>innovation</w:t>
      </w:r>
      <w:r w:rsidR="00F07BB0" w:rsidRPr="008A41D8">
        <w:t> :</w:t>
      </w:r>
    </w:p>
    <w:p w14:paraId="57394A58" w14:textId="51DF4DC4" w:rsidR="00F07BB0" w:rsidRPr="008A41D8" w:rsidRDefault="00F07BB0" w:rsidP="00D9240F">
      <w:pPr>
        <w:pStyle w:val="Paragraphedeliste"/>
        <w:numPr>
          <w:ilvl w:val="0"/>
          <w:numId w:val="2"/>
        </w:numPr>
        <w:jc w:val="both"/>
      </w:pPr>
      <w:r w:rsidRPr="008A41D8">
        <w:t>Santé de précision</w:t>
      </w:r>
    </w:p>
    <w:p w14:paraId="4BE5F8D8" w14:textId="309BD766" w:rsidR="00F07BB0" w:rsidRPr="008A41D8" w:rsidRDefault="00F07BB0" w:rsidP="00D9240F">
      <w:pPr>
        <w:pStyle w:val="Paragraphedeliste"/>
        <w:numPr>
          <w:ilvl w:val="0"/>
          <w:numId w:val="2"/>
        </w:numPr>
        <w:jc w:val="both"/>
      </w:pPr>
      <w:r w:rsidRPr="008A41D8">
        <w:t>Science</w:t>
      </w:r>
      <w:r w:rsidR="0044329C" w:rsidRPr="008A41D8">
        <w:t>s</w:t>
      </w:r>
      <w:r w:rsidRPr="008A41D8">
        <w:t xml:space="preserve"> pour une planète en mutation</w:t>
      </w:r>
    </w:p>
    <w:p w14:paraId="50885F5E" w14:textId="6E48051E" w:rsidR="00F07BB0" w:rsidRPr="008A41D8" w:rsidRDefault="00F07BB0" w:rsidP="00D9240F">
      <w:pPr>
        <w:pStyle w:val="Paragraphedeliste"/>
        <w:numPr>
          <w:ilvl w:val="0"/>
          <w:numId w:val="2"/>
        </w:numPr>
        <w:jc w:val="both"/>
      </w:pPr>
      <w:r w:rsidRPr="008A41D8">
        <w:t>Monde numérique au service de l’humain</w:t>
      </w:r>
    </w:p>
    <w:p w14:paraId="15AD06AB" w14:textId="688B1740" w:rsidR="00F07BB0" w:rsidRPr="008A41D8" w:rsidRDefault="00F07BB0" w:rsidP="00D9240F">
      <w:pPr>
        <w:pStyle w:val="Paragraphedeliste"/>
        <w:numPr>
          <w:ilvl w:val="0"/>
          <w:numId w:val="2"/>
        </w:numPr>
        <w:jc w:val="both"/>
      </w:pPr>
      <w:r w:rsidRPr="008A41D8">
        <w:t>Cultures</w:t>
      </w:r>
      <w:r w:rsidR="0044329C" w:rsidRPr="008A41D8">
        <w:t>,</w:t>
      </w:r>
      <w:r w:rsidRPr="008A41D8">
        <w:t xml:space="preserve"> sociétés et pratiques en mutation</w:t>
      </w:r>
    </w:p>
    <w:p w14:paraId="2B9092B3" w14:textId="0917F140" w:rsidR="00181974" w:rsidRPr="008A41D8" w:rsidRDefault="00181974" w:rsidP="00AF6374">
      <w:pPr>
        <w:jc w:val="both"/>
      </w:pPr>
      <w:r w:rsidRPr="008A41D8">
        <w:t xml:space="preserve">L’Initiative d’Excellence Université de Lille lance un appel à manifestation d’intérêt (AMI) </w:t>
      </w:r>
      <w:r w:rsidR="0071272D" w:rsidRPr="008A41D8">
        <w:t>visant à e</w:t>
      </w:r>
      <w:r w:rsidRPr="008A41D8">
        <w:t>xploit</w:t>
      </w:r>
      <w:r w:rsidR="0071272D" w:rsidRPr="008A41D8">
        <w:t>er</w:t>
      </w:r>
      <w:r w:rsidRPr="008A41D8">
        <w:t xml:space="preserve"> la vocation interdisciplinaire</w:t>
      </w:r>
      <w:r w:rsidR="00186D4A" w:rsidRPr="008A41D8">
        <w:t xml:space="preserve"> (*)</w:t>
      </w:r>
      <w:r w:rsidRPr="008A41D8">
        <w:t xml:space="preserve"> des hubs pour répondre aux défis des transitions</w:t>
      </w:r>
      <w:r w:rsidR="0071272D" w:rsidRPr="008A41D8">
        <w:t>. Ces</w:t>
      </w:r>
      <w:r w:rsidRPr="008A41D8">
        <w:t xml:space="preserve"> projets </w:t>
      </w:r>
      <w:r w:rsidR="00186D4A" w:rsidRPr="008A41D8">
        <w:t>inter</w:t>
      </w:r>
      <w:r w:rsidRPr="008A41D8">
        <w:t>disciplinaires, nommés « Cross-</w:t>
      </w:r>
      <w:proofErr w:type="spellStart"/>
      <w:r w:rsidRPr="008A41D8">
        <w:t>Disciplinary</w:t>
      </w:r>
      <w:proofErr w:type="spellEnd"/>
      <w:r w:rsidRPr="008A41D8">
        <w:t xml:space="preserve"> </w:t>
      </w:r>
      <w:proofErr w:type="spellStart"/>
      <w:r w:rsidRPr="008A41D8">
        <w:t>Projects</w:t>
      </w:r>
      <w:proofErr w:type="spellEnd"/>
      <w:r w:rsidRPr="008A41D8">
        <w:t xml:space="preserve"> (CDP) »</w:t>
      </w:r>
      <w:r w:rsidR="0071272D" w:rsidRPr="008A41D8">
        <w:t xml:space="preserve">, contribueront à renforcer la visibilité et le rayonnement de l’université de Lille, et à consolider sa position d’acteur </w:t>
      </w:r>
      <w:r w:rsidR="00D6504D" w:rsidRPr="008A41D8">
        <w:t>au service de la société</w:t>
      </w:r>
      <w:r w:rsidRPr="008A41D8">
        <w:t>.</w:t>
      </w:r>
      <w:r w:rsidR="00586612" w:rsidRPr="008A41D8">
        <w:t xml:space="preserve"> Ces projets emblématiques contribueront aussi à augmenter l’attractivité de l’université de Lille, tant pour les enseignants-chercheurs et chercheurs que pour les étudiants qui y verront une source de sens pour leur formation. </w:t>
      </w:r>
      <w:r w:rsidR="00E32CBD" w:rsidRPr="008A41D8">
        <w:t xml:space="preserve">Pour cette dernière </w:t>
      </w:r>
      <w:proofErr w:type="gramStart"/>
      <w:r w:rsidR="00E32CBD" w:rsidRPr="008A41D8">
        <w:t>raison</w:t>
      </w:r>
      <w:proofErr w:type="gramEnd"/>
      <w:r w:rsidR="00E32CBD" w:rsidRPr="008A41D8">
        <w:t xml:space="preserve">, les CPD associeront étroitement recherche et formation. </w:t>
      </w:r>
      <w:r w:rsidR="00586612" w:rsidRPr="008A41D8">
        <w:t>Enfin, ces projets pourront être source de visibilité pour le grand public, mais aussi pour les collectivités territoriales et les partenaires socio-économiques.</w:t>
      </w:r>
    </w:p>
    <w:p w14:paraId="6314DB8E" w14:textId="3316C9CD" w:rsidR="00F07BB0" w:rsidRPr="008A41D8" w:rsidRDefault="00934B9B" w:rsidP="00D9240F">
      <w:pPr>
        <w:jc w:val="both"/>
      </w:pPr>
      <w:r w:rsidRPr="008A41D8">
        <w:t>Pour répondre à ce</w:t>
      </w:r>
      <w:r w:rsidR="00181974" w:rsidRPr="008A41D8">
        <w:t>t</w:t>
      </w:r>
      <w:r w:rsidRPr="008A41D8">
        <w:t xml:space="preserve"> objectif</w:t>
      </w:r>
      <w:r w:rsidR="00782D96" w:rsidRPr="008A41D8">
        <w:t xml:space="preserve">, il est proposé </w:t>
      </w:r>
      <w:r w:rsidR="00790422" w:rsidRPr="008A41D8">
        <w:t xml:space="preserve">de </w:t>
      </w:r>
      <w:r w:rsidR="00181974" w:rsidRPr="008A41D8">
        <w:t xml:space="preserve">sélectionner </w:t>
      </w:r>
      <w:r w:rsidR="00782D96" w:rsidRPr="008A41D8">
        <w:t>des</w:t>
      </w:r>
      <w:r w:rsidR="00790422" w:rsidRPr="008A41D8">
        <w:t xml:space="preserve"> </w:t>
      </w:r>
      <w:r w:rsidR="00BD1A03" w:rsidRPr="008A41D8">
        <w:t xml:space="preserve">CDP </w:t>
      </w:r>
      <w:r w:rsidR="00C26673" w:rsidRPr="008A41D8">
        <w:t xml:space="preserve">répondant aux critères </w:t>
      </w:r>
      <w:r w:rsidR="00B02DA0" w:rsidRPr="008A41D8">
        <w:t>suivants</w:t>
      </w:r>
      <w:r w:rsidR="00C26673" w:rsidRPr="008A41D8">
        <w:t xml:space="preserve"> : </w:t>
      </w:r>
    </w:p>
    <w:p w14:paraId="5BA13F2E" w14:textId="60A5B9EE" w:rsidR="00AA16F6" w:rsidRPr="008A41D8" w:rsidRDefault="00AA16F6" w:rsidP="00952FD3">
      <w:pPr>
        <w:pStyle w:val="Paragraphedeliste"/>
        <w:numPr>
          <w:ilvl w:val="0"/>
          <w:numId w:val="2"/>
        </w:numPr>
        <w:ind w:left="426"/>
        <w:jc w:val="both"/>
      </w:pPr>
      <w:r w:rsidRPr="008A41D8">
        <w:t xml:space="preserve">Les critères </w:t>
      </w:r>
      <w:r w:rsidR="00B02DA0" w:rsidRPr="008A41D8">
        <w:t>prioritaires</w:t>
      </w:r>
      <w:r w:rsidRPr="008A41D8">
        <w:t xml:space="preserve"> sont les suivants :</w:t>
      </w:r>
    </w:p>
    <w:p w14:paraId="0B4568AD" w14:textId="62592928" w:rsidR="00782D96" w:rsidRPr="008A41D8" w:rsidRDefault="00C26673" w:rsidP="00952FD3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 xml:space="preserve">Le projet devra </w:t>
      </w:r>
      <w:r w:rsidR="00782D96" w:rsidRPr="008A41D8">
        <w:t xml:space="preserve">renforcer la signature </w:t>
      </w:r>
      <w:r w:rsidR="0044329C" w:rsidRPr="008A41D8">
        <w:t>lilloise</w:t>
      </w:r>
      <w:r w:rsidR="003651CA" w:rsidRPr="008A41D8">
        <w:t xml:space="preserve"> sur les transitions</w:t>
      </w:r>
      <w:r w:rsidR="0044329C" w:rsidRPr="008A41D8">
        <w:t xml:space="preserve"> </w:t>
      </w:r>
      <w:r w:rsidR="00782D96" w:rsidRPr="008A41D8">
        <w:t>et la visibilité des hubs de l’initiative d’excellence, et pour cela il devra être clairement différen</w:t>
      </w:r>
      <w:r w:rsidR="0044329C" w:rsidRPr="008A41D8">
        <w:t>c</w:t>
      </w:r>
      <w:r w:rsidR="00782D96" w:rsidRPr="008A41D8">
        <w:t xml:space="preserve">iant </w:t>
      </w:r>
      <w:r w:rsidR="0044329C" w:rsidRPr="008A41D8">
        <w:t>des recherches menées dans le domaine</w:t>
      </w:r>
      <w:r w:rsidR="00782D96" w:rsidRPr="008A41D8">
        <w:t xml:space="preserve"> à l’échelle nationale et internationale.</w:t>
      </w:r>
    </w:p>
    <w:p w14:paraId="790F3E1C" w14:textId="389C58C7" w:rsidR="00B02DA0" w:rsidRPr="008A41D8" w:rsidRDefault="00782D96" w:rsidP="00952FD3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>U</w:t>
      </w:r>
      <w:r w:rsidR="00AA16F6" w:rsidRPr="008A41D8">
        <w:t>ne</w:t>
      </w:r>
      <w:r w:rsidRPr="008A41D8">
        <w:t xml:space="preserve"> attention particulière sera portée </w:t>
      </w:r>
      <w:r w:rsidR="003651CA" w:rsidRPr="008A41D8">
        <w:t>à l’interdisciplinarité</w:t>
      </w:r>
      <w:r w:rsidR="00AA16F6" w:rsidRPr="008A41D8">
        <w:t xml:space="preserve"> </w:t>
      </w:r>
      <w:r w:rsidRPr="008A41D8">
        <w:t>du projet</w:t>
      </w:r>
      <w:r w:rsidR="00AA16F6" w:rsidRPr="008A41D8">
        <w:t xml:space="preserve">, qu’elle soit issue d’une démarche intra- ou inter-hubs. </w:t>
      </w:r>
    </w:p>
    <w:p w14:paraId="2FA0ED50" w14:textId="3E6D8D5D" w:rsidR="00782D96" w:rsidRPr="008A41D8" w:rsidRDefault="00B02DA0" w:rsidP="00952FD3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>Le projet devra comporter une</w:t>
      </w:r>
      <w:r w:rsidR="00AA16F6" w:rsidRPr="008A41D8">
        <w:t xml:space="preserve"> prise de risque, ou </w:t>
      </w:r>
      <w:r w:rsidR="0044329C" w:rsidRPr="008A41D8">
        <w:t>une dimension</w:t>
      </w:r>
      <w:r w:rsidR="00AA16F6" w:rsidRPr="008A41D8">
        <w:t xml:space="preserve"> de rupture</w:t>
      </w:r>
      <w:r w:rsidRPr="008A41D8">
        <w:t xml:space="preserve"> par rapport aux démarches classiques du domaine considéré</w:t>
      </w:r>
      <w:r w:rsidR="00AA16F6" w:rsidRPr="008A41D8">
        <w:t xml:space="preserve">. </w:t>
      </w:r>
    </w:p>
    <w:p w14:paraId="280D9904" w14:textId="0CF395D7" w:rsidR="00F87952" w:rsidRPr="008A41D8" w:rsidRDefault="00F87952" w:rsidP="00F87952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 xml:space="preserve">Le projet comportera un volet formation substantiel, avec un lien notamment avec les programmes gradués. </w:t>
      </w:r>
      <w:bookmarkStart w:id="1" w:name="_Hlk125900875"/>
      <w:r w:rsidRPr="008A41D8">
        <w:t>En ce qui concerne spécifiquement la réponse à l’AMI, ce volet formation pourra rester intentionnel, mais les porteurs de projet devront tout de même prendre contact avec les responsables de programmes gradués</w:t>
      </w:r>
      <w:r w:rsidR="009F2506" w:rsidRPr="008A41D8">
        <w:t xml:space="preserve"> et de composantes</w:t>
      </w:r>
      <w:r w:rsidRPr="008A41D8">
        <w:t xml:space="preserve"> concernés pour cadrer leur proposition. </w:t>
      </w:r>
    </w:p>
    <w:bookmarkEnd w:id="1"/>
    <w:p w14:paraId="0351420D" w14:textId="2BE9A9CB" w:rsidR="00DD26F4" w:rsidRPr="008A41D8" w:rsidRDefault="00AA16F6" w:rsidP="00952FD3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>Le projet impliquera un collectif de recherche de l’université de Lille et des partenaires de l’</w:t>
      </w:r>
      <w:r w:rsidR="000C796D" w:rsidRPr="008A41D8">
        <w:t>I</w:t>
      </w:r>
      <w:r w:rsidRPr="008A41D8">
        <w:t>nitiative d’</w:t>
      </w:r>
      <w:r w:rsidR="000C796D" w:rsidRPr="008A41D8">
        <w:t>E</w:t>
      </w:r>
      <w:r w:rsidRPr="008A41D8">
        <w:t>xcellence</w:t>
      </w:r>
      <w:r w:rsidR="00B02DA0" w:rsidRPr="008A41D8">
        <w:t xml:space="preserve">, dont le périmètre permettra de justifier </w:t>
      </w:r>
      <w:r w:rsidR="000C796D" w:rsidRPr="008A41D8">
        <w:t>la nature et la qualité des résultats attendus</w:t>
      </w:r>
      <w:r w:rsidR="00B02DA0" w:rsidRPr="008A41D8">
        <w:t xml:space="preserve"> et le niveau de financement demandé</w:t>
      </w:r>
      <w:r w:rsidRPr="008A41D8">
        <w:t>. D’autres partenaires</w:t>
      </w:r>
      <w:r w:rsidR="00B02DA0" w:rsidRPr="008A41D8">
        <w:t xml:space="preserve"> externes</w:t>
      </w:r>
      <w:r w:rsidRPr="008A41D8">
        <w:t xml:space="preserve"> pourront être impliqués</w:t>
      </w:r>
      <w:r w:rsidR="0044329C" w:rsidRPr="008A41D8">
        <w:t xml:space="preserve"> (dès la mise en œuvre du projet ou au cours de son déploiement)</w:t>
      </w:r>
      <w:r w:rsidRPr="008A41D8">
        <w:t>, mais sans financement</w:t>
      </w:r>
      <w:r w:rsidR="008C3F54" w:rsidRPr="008A41D8">
        <w:t xml:space="preserve"> pour ceux-ci</w:t>
      </w:r>
      <w:r w:rsidRPr="008A41D8">
        <w:t>.</w:t>
      </w:r>
      <w:r w:rsidR="00DD26F4" w:rsidRPr="008A41D8">
        <w:t xml:space="preserve"> </w:t>
      </w:r>
    </w:p>
    <w:p w14:paraId="7E4661F5" w14:textId="48E8582F" w:rsidR="00DD26F4" w:rsidRPr="008A41D8" w:rsidRDefault="00DD26F4" w:rsidP="00C90E5E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 xml:space="preserve">Le projet devra </w:t>
      </w:r>
      <w:r w:rsidR="00B02DA0" w:rsidRPr="008A41D8">
        <w:t>inclure un objectif d’attractivité</w:t>
      </w:r>
      <w:r w:rsidRPr="008A41D8">
        <w:t xml:space="preserve"> pour des chercheurs externes</w:t>
      </w:r>
      <w:r w:rsidR="0035077B" w:rsidRPr="008A41D8">
        <w:t>, ou une démarche visant à préparer des candidatures de haut niveau à des concours ou appels compétitifs.</w:t>
      </w:r>
      <w:r w:rsidRPr="008A41D8">
        <w:t xml:space="preserve"> </w:t>
      </w:r>
      <w:r w:rsidR="00C90E5E" w:rsidRPr="008A41D8">
        <w:t>Il pourra aussi impli</w:t>
      </w:r>
      <w:r w:rsidR="00EC70D5" w:rsidRPr="008A41D8">
        <w:t>quer les</w:t>
      </w:r>
      <w:r w:rsidR="00C90E5E" w:rsidRPr="008A41D8">
        <w:t xml:space="preserve"> chaires professeurs junior.</w:t>
      </w:r>
    </w:p>
    <w:p w14:paraId="6F1ADE93" w14:textId="7CE74600" w:rsidR="00AA16F6" w:rsidRPr="008A41D8" w:rsidRDefault="00AA16F6" w:rsidP="00952FD3">
      <w:pPr>
        <w:pStyle w:val="Paragraphedeliste"/>
        <w:numPr>
          <w:ilvl w:val="0"/>
          <w:numId w:val="2"/>
        </w:numPr>
        <w:ind w:left="284"/>
        <w:jc w:val="both"/>
      </w:pPr>
      <w:r w:rsidRPr="008A41D8">
        <w:t xml:space="preserve">Les critères suivants contribueront à </w:t>
      </w:r>
      <w:r w:rsidR="00DD26F4" w:rsidRPr="008A41D8">
        <w:t>la</w:t>
      </w:r>
      <w:r w:rsidRPr="008A41D8">
        <w:t xml:space="preserve"> sélection, sans qu’ils soient </w:t>
      </w:r>
      <w:r w:rsidR="00B02DA0" w:rsidRPr="008A41D8">
        <w:t xml:space="preserve">prioritaires </w:t>
      </w:r>
      <w:r w:rsidRPr="008A41D8">
        <w:t xml:space="preserve">: </w:t>
      </w:r>
    </w:p>
    <w:p w14:paraId="44B3B437" w14:textId="1D977E68" w:rsidR="00AA16F6" w:rsidRPr="008A41D8" w:rsidRDefault="00C26673" w:rsidP="00952FD3">
      <w:pPr>
        <w:pStyle w:val="Paragraphedeliste"/>
        <w:numPr>
          <w:ilvl w:val="1"/>
          <w:numId w:val="2"/>
        </w:numPr>
        <w:ind w:left="851"/>
        <w:jc w:val="both"/>
      </w:pPr>
      <w:r w:rsidRPr="008A41D8">
        <w:lastRenderedPageBreak/>
        <w:t xml:space="preserve">La thématique </w:t>
      </w:r>
      <w:r w:rsidR="00AA16F6" w:rsidRPr="008A41D8">
        <w:t xml:space="preserve">pourra </w:t>
      </w:r>
      <w:r w:rsidRPr="008A41D8">
        <w:t xml:space="preserve">être </w:t>
      </w:r>
      <w:r w:rsidR="0035077B" w:rsidRPr="008A41D8">
        <w:t>en lien avec</w:t>
      </w:r>
      <w:r w:rsidRPr="008A41D8">
        <w:t xml:space="preserve"> une stratégie </w:t>
      </w:r>
      <w:r w:rsidR="00FF466E" w:rsidRPr="008A41D8">
        <w:t xml:space="preserve">régionale, </w:t>
      </w:r>
      <w:r w:rsidRPr="008A41D8">
        <w:t>nationale</w:t>
      </w:r>
      <w:r w:rsidR="00EB0751" w:rsidRPr="008A41D8">
        <w:t xml:space="preserve"> et</w:t>
      </w:r>
      <w:r w:rsidR="0035077B" w:rsidRPr="008A41D8">
        <w:t>/</w:t>
      </w:r>
      <w:r w:rsidR="00EB0751" w:rsidRPr="008A41D8">
        <w:t xml:space="preserve">ou </w:t>
      </w:r>
      <w:r w:rsidRPr="008A41D8">
        <w:t xml:space="preserve">européenne, </w:t>
      </w:r>
      <w:r w:rsidR="00AA16F6" w:rsidRPr="008A41D8">
        <w:t>mais sans que le projet soit redondant avec des</w:t>
      </w:r>
      <w:r w:rsidR="0035077B" w:rsidRPr="008A41D8">
        <w:t xml:space="preserve"> réponses à des</w:t>
      </w:r>
      <w:r w:rsidR="00AA16F6" w:rsidRPr="008A41D8">
        <w:t xml:space="preserve"> AAP existants.</w:t>
      </w:r>
      <w:r w:rsidR="00F37598" w:rsidRPr="008A41D8">
        <w:t xml:space="preserve"> L’objet est ici de pouvoir mieux émarger à des AAP en augmentant les compétences du collectif. </w:t>
      </w:r>
    </w:p>
    <w:p w14:paraId="7D38ED94" w14:textId="2FB9D777" w:rsidR="00AA16F6" w:rsidRPr="008A41D8" w:rsidRDefault="00AA16F6" w:rsidP="00952FD3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>Le projet pourra s’inscrire dans la thématique d’un des CPER portés par l’université de Lille</w:t>
      </w:r>
      <w:r w:rsidR="00DD26F4" w:rsidRPr="008A41D8">
        <w:t>, mais sans que son financement soit redondant avec ce qui est potentiellement prévu dans le CPER.</w:t>
      </w:r>
      <w:r w:rsidR="00586612" w:rsidRPr="008A41D8">
        <w:t xml:space="preserve"> Le projet pourra par exemple contribuer à renforcer une dimension de recherche amont du projet qui n’est pas financée actuellement.</w:t>
      </w:r>
    </w:p>
    <w:p w14:paraId="035C0527" w14:textId="229677C4" w:rsidR="00C26673" w:rsidRPr="008A41D8" w:rsidRDefault="00C26673" w:rsidP="00952FD3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>Le projet</w:t>
      </w:r>
      <w:r w:rsidR="00DD26F4" w:rsidRPr="008A41D8">
        <w:t xml:space="preserve"> pourra contribuer à renforcer la carrière de </w:t>
      </w:r>
      <w:r w:rsidRPr="008A41D8">
        <w:t xml:space="preserve">jeunes </w:t>
      </w:r>
      <w:proofErr w:type="spellStart"/>
      <w:r w:rsidRPr="008A41D8">
        <w:t>chercheur.</w:t>
      </w:r>
      <w:proofErr w:type="gramStart"/>
      <w:r w:rsidRPr="008A41D8">
        <w:t>e</w:t>
      </w:r>
      <w:r w:rsidR="000C796D" w:rsidRPr="008A41D8">
        <w:t>.</w:t>
      </w:r>
      <w:r w:rsidRPr="008A41D8">
        <w:t>s</w:t>
      </w:r>
      <w:proofErr w:type="spellEnd"/>
      <w:proofErr w:type="gramEnd"/>
      <w:r w:rsidRPr="008A41D8">
        <w:t xml:space="preserve">, </w:t>
      </w:r>
      <w:r w:rsidR="00DD26F4" w:rsidRPr="008A41D8">
        <w:t xml:space="preserve">par exemple </w:t>
      </w:r>
      <w:r w:rsidR="002E7B23" w:rsidRPr="008A41D8">
        <w:t xml:space="preserve">en les impliquant dans la coordination ou </w:t>
      </w:r>
      <w:r w:rsidR="00DD26F4" w:rsidRPr="008A41D8">
        <w:t>en contribuant à créer une équipe de recherche à haut potentiel.</w:t>
      </w:r>
    </w:p>
    <w:p w14:paraId="0077ABFA" w14:textId="3AFDAF1F" w:rsidR="00C26673" w:rsidRPr="008A41D8" w:rsidRDefault="00DD26F4" w:rsidP="00952FD3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>Le projet pourra impliquer d</w:t>
      </w:r>
      <w:r w:rsidR="00D5398F" w:rsidRPr="008A41D8">
        <w:t>es p</w:t>
      </w:r>
      <w:r w:rsidR="00C26673" w:rsidRPr="008A41D8">
        <w:t xml:space="preserve">artenaires internationaux, </w:t>
      </w:r>
      <w:r w:rsidR="003651CA" w:rsidRPr="008A41D8">
        <w:t xml:space="preserve">notamment </w:t>
      </w:r>
      <w:r w:rsidRPr="008A41D8">
        <w:t>ceux identifiés comme prioritaires pour l’université de Lille</w:t>
      </w:r>
      <w:r w:rsidR="00B56B34" w:rsidRPr="008A41D8">
        <w:t xml:space="preserve"> </w:t>
      </w:r>
      <w:r w:rsidR="0065406E" w:rsidRPr="008A41D8">
        <w:t>(*</w:t>
      </w:r>
      <w:r w:rsidR="00AC3D48" w:rsidRPr="008A41D8">
        <w:t>*</w:t>
      </w:r>
      <w:r w:rsidR="0065406E" w:rsidRPr="008A41D8">
        <w:t>)</w:t>
      </w:r>
      <w:r w:rsidR="0035077B" w:rsidRPr="008A41D8">
        <w:t xml:space="preserve"> ou les porteurs de chaire internationale</w:t>
      </w:r>
      <w:r w:rsidR="00C26673" w:rsidRPr="008A41D8">
        <w:t xml:space="preserve">, avec </w:t>
      </w:r>
      <w:r w:rsidRPr="008A41D8">
        <w:t xml:space="preserve">pour objectif de </w:t>
      </w:r>
      <w:r w:rsidR="002E7B23" w:rsidRPr="008A41D8">
        <w:t>répondre à des AAP</w:t>
      </w:r>
      <w:r w:rsidR="00C26673" w:rsidRPr="008A41D8">
        <w:t xml:space="preserve"> européens</w:t>
      </w:r>
      <w:r w:rsidRPr="008A41D8">
        <w:t xml:space="preserve"> ou internationaux d’envergure.</w:t>
      </w:r>
      <w:r w:rsidR="0035077B" w:rsidRPr="008A41D8">
        <w:t xml:space="preserve"> </w:t>
      </w:r>
    </w:p>
    <w:p w14:paraId="0A0D5597" w14:textId="2D7F4468" w:rsidR="00C26673" w:rsidRPr="008A41D8" w:rsidRDefault="00D5398F" w:rsidP="00952FD3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 xml:space="preserve">Le projet </w:t>
      </w:r>
      <w:r w:rsidR="00DD26F4" w:rsidRPr="008A41D8">
        <w:t>pourra impliquer un volet innovation, avec notamment l’implication</w:t>
      </w:r>
      <w:r w:rsidR="00C26673" w:rsidRPr="008A41D8">
        <w:t xml:space="preserve"> </w:t>
      </w:r>
      <w:r w:rsidR="002E7B23" w:rsidRPr="008A41D8">
        <w:t xml:space="preserve">de </w:t>
      </w:r>
      <w:r w:rsidR="00C26673" w:rsidRPr="008A41D8">
        <w:t>partenaires socio-éco</w:t>
      </w:r>
      <w:r w:rsidR="000C796D" w:rsidRPr="008A41D8">
        <w:t>nomiques</w:t>
      </w:r>
      <w:r w:rsidR="00DD26F4" w:rsidRPr="008A41D8">
        <w:t xml:space="preserve"> qui contribueront au cofinancement du projet </w:t>
      </w:r>
      <w:r w:rsidR="00C26673" w:rsidRPr="008A41D8">
        <w:t>(</w:t>
      </w:r>
      <w:r w:rsidR="00DD26F4" w:rsidRPr="008A41D8">
        <w:t>labo</w:t>
      </w:r>
      <w:r w:rsidR="00C26673" w:rsidRPr="008A41D8">
        <w:t xml:space="preserve"> communs, chaire industrielle…)</w:t>
      </w:r>
      <w:r w:rsidR="000C796D" w:rsidRPr="008A41D8">
        <w:t>.</w:t>
      </w:r>
    </w:p>
    <w:p w14:paraId="2B1D3A37" w14:textId="77777777" w:rsidR="008A41DA" w:rsidRPr="008A41D8" w:rsidRDefault="00434F78" w:rsidP="00C0433B">
      <w:pPr>
        <w:pStyle w:val="Paragraphedeliste"/>
        <w:numPr>
          <w:ilvl w:val="1"/>
          <w:numId w:val="2"/>
        </w:numPr>
        <w:ind w:left="851"/>
        <w:jc w:val="both"/>
      </w:pPr>
      <w:r w:rsidRPr="008A41D8">
        <w:t xml:space="preserve">Le projet pourra impliquer les plateformes labellisées </w:t>
      </w:r>
      <w:r w:rsidR="00737D68" w:rsidRPr="008A41D8">
        <w:t xml:space="preserve">de l’université de Lille. </w:t>
      </w:r>
    </w:p>
    <w:p w14:paraId="283A146E" w14:textId="0049D280" w:rsidR="00DD26F4" w:rsidRPr="008A41D8" w:rsidRDefault="00B02DA0" w:rsidP="008A41DA">
      <w:pPr>
        <w:jc w:val="both"/>
      </w:pPr>
      <w:r w:rsidRPr="008A41D8">
        <w:t>Par ailleurs, pour être éligible, le projet devra répondre aux attentes suivantes :</w:t>
      </w:r>
    </w:p>
    <w:p w14:paraId="0F898CFD" w14:textId="31A9031C" w:rsidR="00B02DA0" w:rsidRPr="008A41D8" w:rsidRDefault="00B02DA0" w:rsidP="00952FD3">
      <w:pPr>
        <w:pStyle w:val="Paragraphedeliste"/>
        <w:numPr>
          <w:ilvl w:val="0"/>
          <w:numId w:val="2"/>
        </w:numPr>
        <w:ind w:left="567"/>
        <w:jc w:val="both"/>
      </w:pPr>
      <w:r w:rsidRPr="008A41D8">
        <w:t xml:space="preserve">Il montrera une attention </w:t>
      </w:r>
      <w:r w:rsidR="002E7B23" w:rsidRPr="008A41D8">
        <w:t>particulière</w:t>
      </w:r>
      <w:r w:rsidRPr="008A41D8">
        <w:t xml:space="preserve"> </w:t>
      </w:r>
      <w:r w:rsidR="000625AF" w:rsidRPr="008A41D8">
        <w:t>à l’égalité</w:t>
      </w:r>
      <w:r w:rsidRPr="008A41D8">
        <w:t xml:space="preserve"> des genres</w:t>
      </w:r>
      <w:r w:rsidR="0035077B" w:rsidRPr="008A41D8">
        <w:t>.</w:t>
      </w:r>
    </w:p>
    <w:p w14:paraId="44652D95" w14:textId="3C645F9B" w:rsidR="00B02DA0" w:rsidRPr="008A41D8" w:rsidRDefault="00B02DA0" w:rsidP="00952FD3">
      <w:pPr>
        <w:pStyle w:val="Paragraphedeliste"/>
        <w:numPr>
          <w:ilvl w:val="0"/>
          <w:numId w:val="2"/>
        </w:numPr>
        <w:ind w:left="567"/>
        <w:jc w:val="both"/>
      </w:pPr>
      <w:r w:rsidRPr="008A41D8">
        <w:t>Les résultats du projet seront inscrits dans une démarche de</w:t>
      </w:r>
      <w:r w:rsidR="00C26673" w:rsidRPr="008A41D8">
        <w:t xml:space="preserve"> science ouverte</w:t>
      </w:r>
      <w:r w:rsidR="002E7B23" w:rsidRPr="008A41D8">
        <w:t xml:space="preserve">, </w:t>
      </w:r>
      <w:r w:rsidRPr="008A41D8">
        <w:t>incluant la gestion ouverte des données en mode FAIR</w:t>
      </w:r>
      <w:r w:rsidR="0035077B" w:rsidRPr="008A41D8">
        <w:t>.</w:t>
      </w:r>
    </w:p>
    <w:p w14:paraId="01F3A787" w14:textId="0F89DFF4" w:rsidR="00C26673" w:rsidRPr="008A41D8" w:rsidRDefault="00B02DA0" w:rsidP="00952FD3">
      <w:pPr>
        <w:pStyle w:val="Paragraphedeliste"/>
        <w:numPr>
          <w:ilvl w:val="0"/>
          <w:numId w:val="2"/>
        </w:numPr>
        <w:ind w:left="567"/>
        <w:jc w:val="both"/>
      </w:pPr>
      <w:r w:rsidRPr="008A41D8">
        <w:t xml:space="preserve">Le projet participera à </w:t>
      </w:r>
      <w:r w:rsidR="00C26673" w:rsidRPr="008A41D8">
        <w:t xml:space="preserve">l’ouverture </w:t>
      </w:r>
      <w:r w:rsidRPr="008A41D8">
        <w:t xml:space="preserve">de la science </w:t>
      </w:r>
      <w:r w:rsidR="00C26673" w:rsidRPr="008A41D8">
        <w:t>vers la société</w:t>
      </w:r>
      <w:r w:rsidR="003651CA" w:rsidRPr="008A41D8">
        <w:t>, impliquant des actions de médiation scientifique ou des partenariats avec des acteurs de la société civile (associations, acteurs institutionnels des politiques publiques…)</w:t>
      </w:r>
    </w:p>
    <w:p w14:paraId="688DE6FA" w14:textId="131EA27C" w:rsidR="00972086" w:rsidRPr="008A41D8" w:rsidRDefault="00972086" w:rsidP="0084691A">
      <w:pPr>
        <w:jc w:val="both"/>
      </w:pPr>
      <w:r w:rsidRPr="008A41D8">
        <w:t xml:space="preserve">La participation aux CDP est ouverte à tous les personnels de l’université de Lille et de ses partenaires (CNRS, </w:t>
      </w:r>
      <w:proofErr w:type="spellStart"/>
      <w:r w:rsidRPr="008A41D8">
        <w:t>Inrae</w:t>
      </w:r>
      <w:proofErr w:type="spellEnd"/>
      <w:r w:rsidRPr="008A41D8">
        <w:t>, Inria, Inserm, CHU de Lille, Institut Pasteur de Lille, Centrale Lille, IMT- Lille Nord Europe).</w:t>
      </w:r>
    </w:p>
    <w:p w14:paraId="2699E713" w14:textId="63E8799A" w:rsidR="00782D96" w:rsidRPr="008A41D8" w:rsidRDefault="00782D96" w:rsidP="0084691A">
      <w:pPr>
        <w:jc w:val="both"/>
      </w:pPr>
      <w:r w:rsidRPr="008A41D8">
        <w:t xml:space="preserve">Il est prévu de financer </w:t>
      </w:r>
      <w:r w:rsidR="0071272D" w:rsidRPr="008A41D8">
        <w:t xml:space="preserve">de </w:t>
      </w:r>
      <w:r w:rsidRPr="008A41D8">
        <w:t>12</w:t>
      </w:r>
      <w:r w:rsidR="0071272D" w:rsidRPr="008A41D8">
        <w:t xml:space="preserve"> à 16</w:t>
      </w:r>
      <w:r w:rsidRPr="008A41D8">
        <w:t xml:space="preserve"> </w:t>
      </w:r>
      <w:r w:rsidR="0035077B" w:rsidRPr="008A41D8">
        <w:t>CDP</w:t>
      </w:r>
      <w:r w:rsidRPr="008A41D8">
        <w:t>, en plusieurs vagues. Leur taille pourra être variable</w:t>
      </w:r>
      <w:r w:rsidR="002E7B23" w:rsidRPr="008A41D8">
        <w:t xml:space="preserve"> </w:t>
      </w:r>
      <w:r w:rsidRPr="008A41D8">
        <w:t>et leur financement pourra se situer entre 0,2 et 0,8 M€ par an, durant 4 années, renouvelable une fois après évaluation.</w:t>
      </w:r>
      <w:r w:rsidR="00BD1A03" w:rsidRPr="008A41D8">
        <w:t xml:space="preserve"> La ventilation du financement est laissée au choix des porteurs, mais elle devra être justifiée.</w:t>
      </w:r>
      <w:r w:rsidR="007008BF" w:rsidRPr="008A41D8">
        <w:t xml:space="preserve"> </w:t>
      </w:r>
      <w:r w:rsidR="008A41DA" w:rsidRPr="008A41D8">
        <w:t xml:space="preserve">A noter </w:t>
      </w:r>
      <w:r w:rsidR="00591112" w:rsidRPr="008A41D8">
        <w:t>qu’aucun investissement en équipement mi-lourd</w:t>
      </w:r>
      <w:r w:rsidR="008A41DA" w:rsidRPr="008A41D8">
        <w:t xml:space="preserve"> </w:t>
      </w:r>
      <w:r w:rsidR="00591112" w:rsidRPr="008A41D8">
        <w:t>ne sera possible</w:t>
      </w:r>
      <w:r w:rsidR="008A41DA" w:rsidRPr="008A41D8">
        <w:t>.</w:t>
      </w:r>
      <w:r w:rsidR="00591112" w:rsidRPr="008A41D8">
        <w:t xml:space="preserve"> </w:t>
      </w:r>
      <w:r w:rsidR="007008BF" w:rsidRPr="008A41D8">
        <w:t>Le CDP aura pour vocation à compléter son budget au-delà de la dotation initiale de l’initiative d’excellence, notamment en répondant à des AAP (internes et externes</w:t>
      </w:r>
      <w:r w:rsidR="00622C7E" w:rsidRPr="008A41D8">
        <w:t>, notamment européens</w:t>
      </w:r>
      <w:r w:rsidR="007008BF" w:rsidRPr="008A41D8">
        <w:t>), en sollicitant les collectivités territoriales lorsque la thématique le permet, ou encore en nouant des partenariats a</w:t>
      </w:r>
      <w:r w:rsidR="00113998" w:rsidRPr="008A41D8">
        <w:t>vec le monde socio-économique. Au cours du projet, l</w:t>
      </w:r>
      <w:r w:rsidR="007008BF" w:rsidRPr="008A41D8">
        <w:t>a fondation de l’université de Lille pourra accompagner les CDP pour la recherche de soutiens.</w:t>
      </w:r>
      <w:r w:rsidR="00622C7E" w:rsidRPr="008A41D8">
        <w:t xml:space="preserve"> </w:t>
      </w:r>
    </w:p>
    <w:p w14:paraId="06511F9F" w14:textId="4D651B3F" w:rsidR="0035077B" w:rsidRPr="008A41D8" w:rsidRDefault="0084691A" w:rsidP="0084691A">
      <w:pPr>
        <w:jc w:val="both"/>
      </w:pPr>
      <w:r w:rsidRPr="008A41D8">
        <w:t>Cet AMI</w:t>
      </w:r>
      <w:r w:rsidR="0035077B" w:rsidRPr="008A41D8">
        <w:t xml:space="preserve"> a pour objectif d’identifier les CDP potentiels, et </w:t>
      </w:r>
      <w:r w:rsidR="00AA25F7" w:rsidRPr="008A41D8">
        <w:t xml:space="preserve">de contribuer à les optimiser </w:t>
      </w:r>
      <w:r w:rsidR="0035077B" w:rsidRPr="008A41D8">
        <w:t>pour qu’ils répondent au mieux aux attendus</w:t>
      </w:r>
      <w:r w:rsidR="00AA25F7" w:rsidRPr="008A41D8">
        <w:t xml:space="preserve"> de l’AAP</w:t>
      </w:r>
      <w:r w:rsidR="00E36364" w:rsidRPr="008A41D8">
        <w:t xml:space="preserve"> qui suivra</w:t>
      </w:r>
      <w:r w:rsidR="0035077B" w:rsidRPr="008A41D8">
        <w:t>. Les porteurs seront auditionnés, et un avis sera rendu sur leur proposition</w:t>
      </w:r>
      <w:r w:rsidR="00D16E39" w:rsidRPr="008A41D8">
        <w:t>. Un appel à projets</w:t>
      </w:r>
      <w:r w:rsidR="008C3F54" w:rsidRPr="008A41D8">
        <w:t xml:space="preserve">, réservé aux projets </w:t>
      </w:r>
      <w:r w:rsidR="00EF40D3" w:rsidRPr="008A41D8">
        <w:t>préalablement soumis</w:t>
      </w:r>
      <w:r w:rsidR="008C3F54" w:rsidRPr="008A41D8">
        <w:t xml:space="preserve"> à l’AMI, </w:t>
      </w:r>
      <w:r w:rsidR="00D16E39" w:rsidRPr="008A41D8">
        <w:t xml:space="preserve">sera ensuite lancé pour </w:t>
      </w:r>
      <w:r w:rsidR="00BD1A03" w:rsidRPr="008A41D8">
        <w:t xml:space="preserve">finalement </w:t>
      </w:r>
      <w:r w:rsidR="00D16E39" w:rsidRPr="008A41D8">
        <w:t xml:space="preserve">procéder à une sélection des </w:t>
      </w:r>
      <w:r w:rsidR="00BD1A03" w:rsidRPr="008A41D8">
        <w:t>CDP</w:t>
      </w:r>
      <w:r w:rsidR="00D16E39" w:rsidRPr="008A41D8">
        <w:t xml:space="preserve">. Le lancement des 3 </w:t>
      </w:r>
      <w:r w:rsidR="008C3F54" w:rsidRPr="008A41D8">
        <w:t>à 6</w:t>
      </w:r>
      <w:r w:rsidR="00D16E39" w:rsidRPr="008A41D8">
        <w:t xml:space="preserve"> projets </w:t>
      </w:r>
      <w:r w:rsidR="00BD1A03" w:rsidRPr="008A41D8">
        <w:t xml:space="preserve">prévus </w:t>
      </w:r>
      <w:r w:rsidR="00D16E39" w:rsidRPr="008A41D8">
        <w:t xml:space="preserve">pour la vague 2023 </w:t>
      </w:r>
      <w:r w:rsidR="00BD1A03" w:rsidRPr="008A41D8">
        <w:t>sera effectué</w:t>
      </w:r>
      <w:r w:rsidR="00D16E39" w:rsidRPr="008A41D8">
        <w:t xml:space="preserve"> début 2024.</w:t>
      </w:r>
    </w:p>
    <w:p w14:paraId="28D5F95E" w14:textId="121ADB46" w:rsidR="0017566E" w:rsidRPr="008A41D8" w:rsidRDefault="0017566E" w:rsidP="0084691A">
      <w:pPr>
        <w:jc w:val="both"/>
      </w:pPr>
      <w:r w:rsidRPr="008A41D8">
        <w:t xml:space="preserve">S’il souhaite </w:t>
      </w:r>
      <w:r w:rsidR="00DE2D55" w:rsidRPr="008A41D8">
        <w:t xml:space="preserve">être programmé sur 8 ans, le projet devra, à mi-parcours, non seulement respecter des objectifs de succès qui seront </w:t>
      </w:r>
      <w:r w:rsidR="00BB385A" w:rsidRPr="008A41D8">
        <w:t>proposés</w:t>
      </w:r>
      <w:r w:rsidR="00DE2D55" w:rsidRPr="008A41D8">
        <w:t xml:space="preserve"> par les porteurs, mais aussi démontrer son attractivité et avoir obtenu des financements complémentaires à des AAP compétitifs</w:t>
      </w:r>
      <w:r w:rsidR="00622C7E" w:rsidRPr="008A41D8">
        <w:t xml:space="preserve"> (notamment européens)</w:t>
      </w:r>
      <w:r w:rsidR="00DE2D55" w:rsidRPr="008A41D8">
        <w:t>.</w:t>
      </w:r>
    </w:p>
    <w:p w14:paraId="7BC2B161" w14:textId="405516E5" w:rsidR="00DE2D55" w:rsidRPr="008A41D8" w:rsidRDefault="00DE2D55" w:rsidP="0084691A">
      <w:pPr>
        <w:jc w:val="both"/>
      </w:pPr>
      <w:r w:rsidRPr="008A41D8">
        <w:t>Les réponses à l’AMI comporteront un résumé du projet (1 page) et un descriptif de l’intention de positionnement vis-à-vis des critères de l’AAP listés ci-dessous (</w:t>
      </w:r>
      <w:r w:rsidR="002E7B23" w:rsidRPr="008A41D8">
        <w:t xml:space="preserve">1/2 page </w:t>
      </w:r>
      <w:r w:rsidR="000F4314" w:rsidRPr="008A41D8">
        <w:t xml:space="preserve">max </w:t>
      </w:r>
      <w:r w:rsidR="002E7B23" w:rsidRPr="008A41D8">
        <w:t>par critère, 10</w:t>
      </w:r>
      <w:r w:rsidRPr="008A41D8">
        <w:t xml:space="preserve"> pages</w:t>
      </w:r>
      <w:r w:rsidR="002E7B23" w:rsidRPr="008A41D8">
        <w:t xml:space="preserve"> maximum</w:t>
      </w:r>
      <w:r w:rsidRPr="008A41D8">
        <w:t>).</w:t>
      </w:r>
    </w:p>
    <w:p w14:paraId="1F248420" w14:textId="24C1F0F3" w:rsidR="00AF60CA" w:rsidRPr="008A41D8" w:rsidRDefault="00D16E39" w:rsidP="00AF60CA">
      <w:pPr>
        <w:rPr>
          <w:b/>
          <w:bCs/>
        </w:rPr>
      </w:pPr>
      <w:r w:rsidRPr="008A41D8">
        <w:t xml:space="preserve">Les réponses à </w:t>
      </w:r>
      <w:r w:rsidR="00DE2D55" w:rsidRPr="008A41D8">
        <w:t>l’</w:t>
      </w:r>
      <w:r w:rsidRPr="008A41D8">
        <w:t xml:space="preserve">AMI sont à déposer sur la plateforme dédiée avant le </w:t>
      </w:r>
      <w:r w:rsidR="00A70E86" w:rsidRPr="008A41D8">
        <w:rPr>
          <w:b/>
          <w:bCs/>
        </w:rPr>
        <w:t xml:space="preserve">10 mai 2023. </w:t>
      </w:r>
    </w:p>
    <w:p w14:paraId="3F455BEA" w14:textId="35480279" w:rsidR="00B56E80" w:rsidRPr="008A41D8" w:rsidRDefault="00B56E80" w:rsidP="00AF60CA">
      <w:pPr>
        <w:rPr>
          <w:bCs/>
        </w:rPr>
      </w:pPr>
      <w:r w:rsidRPr="008A41D8">
        <w:rPr>
          <w:bCs/>
        </w:rPr>
        <w:lastRenderedPageBreak/>
        <w:t>Les porteurs potentiels d’une réponse à l’AMI sont invités à contacter les responsables des hubs concernés</w:t>
      </w:r>
      <w:r w:rsidR="008A41D8">
        <w:rPr>
          <w:bCs/>
        </w:rPr>
        <w:t xml:space="preserve"> ***)</w:t>
      </w:r>
      <w:r w:rsidRPr="008A41D8">
        <w:rPr>
          <w:bCs/>
        </w:rPr>
        <w:t>.</w:t>
      </w:r>
    </w:p>
    <w:p w14:paraId="5347375A" w14:textId="3A820352" w:rsidR="00D16E39" w:rsidRPr="008A41D8" w:rsidRDefault="00D16E39" w:rsidP="00AF60CA">
      <w:pPr>
        <w:rPr>
          <w:b/>
          <w:bCs/>
        </w:rPr>
      </w:pPr>
      <w:r w:rsidRPr="008A41D8">
        <w:rPr>
          <w:b/>
          <w:bCs/>
        </w:rPr>
        <w:t xml:space="preserve">Calendrier prévisionnel : </w:t>
      </w:r>
    </w:p>
    <w:p w14:paraId="107F9587" w14:textId="3E63D3E6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>10 mars : lancement AMI</w:t>
      </w:r>
    </w:p>
    <w:p w14:paraId="16C505E2" w14:textId="1B8D338D" w:rsidR="001E5261" w:rsidRPr="008A41D8" w:rsidRDefault="001E5261" w:rsidP="00952FD3">
      <w:pPr>
        <w:pStyle w:val="Paragraphedeliste"/>
        <w:numPr>
          <w:ilvl w:val="0"/>
          <w:numId w:val="4"/>
        </w:numPr>
        <w:jc w:val="both"/>
      </w:pPr>
      <w:r w:rsidRPr="008A41D8">
        <w:t>A programmer : séances de présentation de l’AMI par hub</w:t>
      </w:r>
    </w:p>
    <w:p w14:paraId="0998034F" w14:textId="77777777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>10 mai : retours AMI</w:t>
      </w:r>
    </w:p>
    <w:p w14:paraId="27C3A812" w14:textId="743F7646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>2</w:t>
      </w:r>
      <w:r w:rsidR="00D16E39" w:rsidRPr="008A41D8">
        <w:t>2</w:t>
      </w:r>
      <w:r w:rsidRPr="008A41D8">
        <w:t xml:space="preserve"> mai : auditions</w:t>
      </w:r>
    </w:p>
    <w:p w14:paraId="18138120" w14:textId="754E4E7F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>1er juin : retours aux porteurs</w:t>
      </w:r>
    </w:p>
    <w:p w14:paraId="58265918" w14:textId="5F72591D" w:rsidR="0069422E" w:rsidRPr="008A41D8" w:rsidRDefault="00821190" w:rsidP="00952FD3">
      <w:pPr>
        <w:pStyle w:val="Paragraphedeliste"/>
        <w:numPr>
          <w:ilvl w:val="0"/>
          <w:numId w:val="4"/>
        </w:numPr>
        <w:jc w:val="both"/>
      </w:pPr>
      <w:r w:rsidRPr="008A41D8">
        <w:t>J</w:t>
      </w:r>
      <w:r w:rsidR="0069422E" w:rsidRPr="008A41D8">
        <w:t xml:space="preserve">uin : avis du CA </w:t>
      </w:r>
      <w:proofErr w:type="spellStart"/>
      <w:r w:rsidR="0069422E" w:rsidRPr="008A41D8">
        <w:t>ULille</w:t>
      </w:r>
      <w:proofErr w:type="spellEnd"/>
      <w:r w:rsidR="0069422E" w:rsidRPr="008A41D8">
        <w:t xml:space="preserve"> sur la démarche</w:t>
      </w:r>
    </w:p>
    <w:p w14:paraId="3F4D6026" w14:textId="0C428F8B" w:rsidR="001E7DF5" w:rsidRPr="008A41D8" w:rsidRDefault="00D16E39" w:rsidP="00952FD3">
      <w:pPr>
        <w:pStyle w:val="Paragraphedeliste"/>
        <w:numPr>
          <w:ilvl w:val="0"/>
          <w:numId w:val="4"/>
        </w:numPr>
        <w:jc w:val="both"/>
      </w:pPr>
      <w:r w:rsidRPr="008A41D8">
        <w:t>9</w:t>
      </w:r>
      <w:r w:rsidR="005839A3" w:rsidRPr="008A41D8">
        <w:t xml:space="preserve"> juin : lancement AAP</w:t>
      </w:r>
    </w:p>
    <w:p w14:paraId="166E5C23" w14:textId="35423CCE" w:rsidR="001E7DF5" w:rsidRPr="008A41D8" w:rsidRDefault="00D16E39" w:rsidP="00952FD3">
      <w:pPr>
        <w:pStyle w:val="Paragraphedeliste"/>
        <w:numPr>
          <w:ilvl w:val="0"/>
          <w:numId w:val="4"/>
        </w:numPr>
        <w:jc w:val="both"/>
      </w:pPr>
      <w:r w:rsidRPr="008A41D8">
        <w:t>30 juin</w:t>
      </w:r>
      <w:r w:rsidR="005839A3" w:rsidRPr="008A41D8">
        <w:t xml:space="preserve"> : </w:t>
      </w:r>
      <w:r w:rsidRPr="008A41D8">
        <w:t xml:space="preserve">dépôt </w:t>
      </w:r>
      <w:r w:rsidR="003B119A" w:rsidRPr="008A41D8">
        <w:t>d’un résumé du projet</w:t>
      </w:r>
      <w:r w:rsidRPr="008A41D8">
        <w:t xml:space="preserve"> (pour permettre d’anticiper les évaluations)</w:t>
      </w:r>
    </w:p>
    <w:p w14:paraId="22D16563" w14:textId="77777777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>15 septembre : dépôt projets CDP</w:t>
      </w:r>
    </w:p>
    <w:p w14:paraId="562B430E" w14:textId="77777777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>15 novembre : retour évaluation internationale</w:t>
      </w:r>
    </w:p>
    <w:p w14:paraId="54B863D9" w14:textId="1DC26158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 xml:space="preserve">20-27 novembre : </w:t>
      </w:r>
      <w:r w:rsidR="00D16E39" w:rsidRPr="008A41D8">
        <w:t xml:space="preserve">période de </w:t>
      </w:r>
      <w:r w:rsidRPr="008A41D8">
        <w:t>réfutation</w:t>
      </w:r>
      <w:r w:rsidR="00D16E39" w:rsidRPr="008A41D8">
        <w:t xml:space="preserve"> (réponse des experts aux éventuelles erreurs factuelles)</w:t>
      </w:r>
    </w:p>
    <w:p w14:paraId="40DB6E06" w14:textId="06D959EF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>1er décembre</w:t>
      </w:r>
      <w:r w:rsidR="00D16E39" w:rsidRPr="008A41D8">
        <w:t> :</w:t>
      </w:r>
      <w:r w:rsidRPr="008A41D8">
        <w:t xml:space="preserve"> retour évaluations définitives</w:t>
      </w:r>
    </w:p>
    <w:p w14:paraId="5B5BD268" w14:textId="44EC5563" w:rsidR="00D5711F" w:rsidRPr="008A41D8" w:rsidRDefault="00821190" w:rsidP="00952FD3">
      <w:pPr>
        <w:pStyle w:val="Paragraphedeliste"/>
        <w:numPr>
          <w:ilvl w:val="0"/>
          <w:numId w:val="4"/>
        </w:numPr>
        <w:jc w:val="both"/>
      </w:pPr>
      <w:r w:rsidRPr="008A41D8">
        <w:t>D</w:t>
      </w:r>
      <w:r w:rsidR="00D5711F" w:rsidRPr="008A41D8">
        <w:t xml:space="preserve">écembre avis </w:t>
      </w:r>
      <w:r w:rsidR="00F33783" w:rsidRPr="008A41D8">
        <w:t xml:space="preserve">consultatif </w:t>
      </w:r>
      <w:r w:rsidR="00D5711F" w:rsidRPr="008A41D8">
        <w:t>du CAC</w:t>
      </w:r>
    </w:p>
    <w:p w14:paraId="3D18AF20" w14:textId="21AFB82F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>1</w:t>
      </w:r>
      <w:r w:rsidR="00D16E39" w:rsidRPr="008A41D8">
        <w:t>8</w:t>
      </w:r>
      <w:r w:rsidRPr="008A41D8">
        <w:t xml:space="preserve"> décembre</w:t>
      </w:r>
      <w:r w:rsidR="00FB02F6" w:rsidRPr="008A41D8">
        <w:t> :</w:t>
      </w:r>
      <w:r w:rsidRPr="008A41D8">
        <w:t xml:space="preserve"> jury</w:t>
      </w:r>
    </w:p>
    <w:p w14:paraId="520A19DC" w14:textId="76EC544B" w:rsidR="001E7DF5" w:rsidRPr="008A41D8" w:rsidRDefault="005839A3" w:rsidP="00952FD3">
      <w:pPr>
        <w:pStyle w:val="Paragraphedeliste"/>
        <w:numPr>
          <w:ilvl w:val="0"/>
          <w:numId w:val="4"/>
        </w:numPr>
        <w:jc w:val="both"/>
      </w:pPr>
      <w:r w:rsidRPr="008A41D8">
        <w:t>Janvier 2024 : lancement</w:t>
      </w:r>
      <w:r w:rsidR="00FB02F6" w:rsidRPr="008A41D8">
        <w:t xml:space="preserve"> des CDP</w:t>
      </w:r>
    </w:p>
    <w:p w14:paraId="28C644D2" w14:textId="38681C03" w:rsidR="00D16E39" w:rsidRPr="008A41D8" w:rsidRDefault="000602C6" w:rsidP="00D16E39">
      <w:pPr>
        <w:jc w:val="both"/>
        <w:rPr>
          <w:b/>
        </w:rPr>
      </w:pPr>
      <w:r w:rsidRPr="008A41D8">
        <w:rPr>
          <w:b/>
        </w:rPr>
        <w:t xml:space="preserve">Critères d’évaluation : </w:t>
      </w:r>
    </w:p>
    <w:p w14:paraId="2B7AB440" w14:textId="1B34A852" w:rsidR="00E71B9E" w:rsidRPr="008A41D8" w:rsidRDefault="0044329C" w:rsidP="000602C6">
      <w:pPr>
        <w:pStyle w:val="Paragraphedeliste"/>
        <w:numPr>
          <w:ilvl w:val="0"/>
          <w:numId w:val="5"/>
        </w:numPr>
        <w:jc w:val="both"/>
      </w:pPr>
      <w:r w:rsidRPr="008A41D8">
        <w:t>Prise en charge explicite d</w:t>
      </w:r>
      <w:r w:rsidR="00E71B9E" w:rsidRPr="008A41D8">
        <w:t>’un questionnement de recherche en lien avec les transitions</w:t>
      </w:r>
    </w:p>
    <w:p w14:paraId="4E2A20D6" w14:textId="5871D38D" w:rsidR="00316C8D" w:rsidRPr="008A41D8" w:rsidRDefault="00316C8D" w:rsidP="000602C6">
      <w:pPr>
        <w:pStyle w:val="Paragraphedeliste"/>
        <w:numPr>
          <w:ilvl w:val="0"/>
          <w:numId w:val="5"/>
        </w:numPr>
        <w:jc w:val="both"/>
      </w:pPr>
      <w:r w:rsidRPr="008A41D8">
        <w:t>Qualité scientifique</w:t>
      </w:r>
    </w:p>
    <w:p w14:paraId="0D076E71" w14:textId="0CF8E0B3" w:rsidR="000602C6" w:rsidRPr="008A41D8" w:rsidRDefault="000602C6" w:rsidP="000602C6">
      <w:pPr>
        <w:pStyle w:val="Paragraphedeliste"/>
        <w:numPr>
          <w:ilvl w:val="0"/>
          <w:numId w:val="5"/>
        </w:numPr>
        <w:jc w:val="both"/>
      </w:pPr>
      <w:r w:rsidRPr="008A41D8">
        <w:t>Caractère différen</w:t>
      </w:r>
      <w:r w:rsidR="0044329C" w:rsidRPr="008A41D8">
        <w:t>c</w:t>
      </w:r>
      <w:r w:rsidRPr="008A41D8">
        <w:t>iant</w:t>
      </w:r>
    </w:p>
    <w:p w14:paraId="2033F726" w14:textId="1D703AEE" w:rsidR="000602C6" w:rsidRPr="008A41D8" w:rsidRDefault="000602C6" w:rsidP="000602C6">
      <w:pPr>
        <w:pStyle w:val="Paragraphedeliste"/>
        <w:numPr>
          <w:ilvl w:val="0"/>
          <w:numId w:val="5"/>
        </w:numPr>
        <w:jc w:val="both"/>
      </w:pPr>
      <w:r w:rsidRPr="008A41D8">
        <w:t>Prise en compte de l’interdisciplinarité</w:t>
      </w:r>
    </w:p>
    <w:p w14:paraId="03E60938" w14:textId="0D841545" w:rsidR="000602C6" w:rsidRPr="008A41D8" w:rsidRDefault="000602C6" w:rsidP="000602C6">
      <w:pPr>
        <w:pStyle w:val="Paragraphedeliste"/>
        <w:numPr>
          <w:ilvl w:val="0"/>
          <w:numId w:val="5"/>
        </w:numPr>
        <w:jc w:val="both"/>
      </w:pPr>
      <w:r w:rsidRPr="008A41D8">
        <w:t xml:space="preserve">Prise de risque ou </w:t>
      </w:r>
      <w:r w:rsidR="00AE7A44" w:rsidRPr="008A41D8">
        <w:t xml:space="preserve">dimension de </w:t>
      </w:r>
      <w:r w:rsidRPr="008A41D8">
        <w:t>rupture</w:t>
      </w:r>
    </w:p>
    <w:p w14:paraId="54973723" w14:textId="77777777" w:rsidR="00017C73" w:rsidRPr="008A41D8" w:rsidRDefault="00017C73" w:rsidP="00017C73">
      <w:pPr>
        <w:pStyle w:val="Paragraphedeliste"/>
        <w:numPr>
          <w:ilvl w:val="0"/>
          <w:numId w:val="5"/>
        </w:numPr>
        <w:jc w:val="both"/>
      </w:pPr>
      <w:r w:rsidRPr="008A41D8">
        <w:t>Qualité du consortium</w:t>
      </w:r>
    </w:p>
    <w:p w14:paraId="5353C616" w14:textId="49D1D546" w:rsidR="000602C6" w:rsidRPr="008A41D8" w:rsidRDefault="000602C6" w:rsidP="000602C6">
      <w:pPr>
        <w:pStyle w:val="Paragraphedeliste"/>
        <w:numPr>
          <w:ilvl w:val="0"/>
          <w:numId w:val="5"/>
        </w:numPr>
        <w:jc w:val="both"/>
      </w:pPr>
      <w:r w:rsidRPr="008A41D8">
        <w:t>Mesures d’attractivité</w:t>
      </w:r>
    </w:p>
    <w:p w14:paraId="27AEC1C8" w14:textId="42D0E441" w:rsidR="000602C6" w:rsidRPr="008A41D8" w:rsidRDefault="000602C6" w:rsidP="000602C6">
      <w:pPr>
        <w:pStyle w:val="Paragraphedeliste"/>
        <w:numPr>
          <w:ilvl w:val="0"/>
          <w:numId w:val="5"/>
        </w:numPr>
        <w:jc w:val="both"/>
      </w:pPr>
      <w:r w:rsidRPr="008A41D8">
        <w:t>Implication de la formation</w:t>
      </w:r>
      <w:r w:rsidR="0026418E" w:rsidRPr="008A41D8">
        <w:t xml:space="preserve"> </w:t>
      </w:r>
      <w:r w:rsidR="004B6859" w:rsidRPr="008A41D8">
        <w:t>(</w:t>
      </w:r>
      <w:r w:rsidR="0071272D" w:rsidRPr="008A41D8">
        <w:t>Programmes gradués</w:t>
      </w:r>
      <w:r w:rsidR="004B6859" w:rsidRPr="008A41D8">
        <w:t>)</w:t>
      </w:r>
    </w:p>
    <w:p w14:paraId="7E443844" w14:textId="482B2743" w:rsidR="00F37598" w:rsidRPr="008A41D8" w:rsidRDefault="00017C73" w:rsidP="000602C6">
      <w:pPr>
        <w:pStyle w:val="Paragraphedeliste"/>
        <w:numPr>
          <w:ilvl w:val="0"/>
          <w:numId w:val="5"/>
        </w:numPr>
        <w:jc w:val="both"/>
      </w:pPr>
      <w:r w:rsidRPr="008A41D8">
        <w:t>Critères non obligatoires</w:t>
      </w:r>
      <w:r w:rsidR="00F37598" w:rsidRPr="008A41D8">
        <w:t xml:space="preserve">, </w:t>
      </w:r>
      <w:proofErr w:type="gramStart"/>
      <w:r w:rsidR="00F37598" w:rsidRPr="008A41D8">
        <w:t>réparti</w:t>
      </w:r>
      <w:r w:rsidRPr="008A41D8">
        <w:t>s</w:t>
      </w:r>
      <w:r w:rsidR="00F37598" w:rsidRPr="008A41D8">
        <w:t xml:space="preserve"> en</w:t>
      </w:r>
      <w:proofErr w:type="gramEnd"/>
      <w:r w:rsidR="00F37598" w:rsidRPr="008A41D8">
        <w:t> :</w:t>
      </w:r>
    </w:p>
    <w:p w14:paraId="19B57DE3" w14:textId="6A2949F1" w:rsidR="00F37598" w:rsidRPr="008A41D8" w:rsidRDefault="00F37598" w:rsidP="00F37598">
      <w:pPr>
        <w:pStyle w:val="Paragraphedeliste"/>
        <w:numPr>
          <w:ilvl w:val="1"/>
          <w:numId w:val="5"/>
        </w:numPr>
        <w:jc w:val="both"/>
      </w:pPr>
      <w:r w:rsidRPr="008A41D8">
        <w:t>Renforcement du positionnement dans une stratégie nationale ou européenne</w:t>
      </w:r>
    </w:p>
    <w:p w14:paraId="236ED793" w14:textId="5C3EEE48" w:rsidR="00F37598" w:rsidRPr="008A41D8" w:rsidRDefault="00F37598" w:rsidP="00F37598">
      <w:pPr>
        <w:pStyle w:val="Paragraphedeliste"/>
        <w:numPr>
          <w:ilvl w:val="1"/>
          <w:numId w:val="5"/>
        </w:numPr>
        <w:jc w:val="both"/>
      </w:pPr>
      <w:r w:rsidRPr="008A41D8">
        <w:t>Contribution au renforcement d’un CPER</w:t>
      </w:r>
    </w:p>
    <w:p w14:paraId="36E7CF96" w14:textId="35353D95" w:rsidR="00F37598" w:rsidRPr="008A41D8" w:rsidRDefault="00F37598" w:rsidP="00F37598">
      <w:pPr>
        <w:pStyle w:val="Paragraphedeliste"/>
        <w:numPr>
          <w:ilvl w:val="1"/>
          <w:numId w:val="5"/>
        </w:numPr>
        <w:jc w:val="both"/>
      </w:pPr>
      <w:r w:rsidRPr="008A41D8">
        <w:t xml:space="preserve">Soutien à des jeunes </w:t>
      </w:r>
      <w:proofErr w:type="spellStart"/>
      <w:r w:rsidRPr="008A41D8">
        <w:t>chercheur.</w:t>
      </w:r>
      <w:proofErr w:type="gramStart"/>
      <w:r w:rsidRPr="008A41D8">
        <w:t>e</w:t>
      </w:r>
      <w:r w:rsidR="004B6859" w:rsidRPr="008A41D8">
        <w:t>.</w:t>
      </w:r>
      <w:r w:rsidRPr="008A41D8">
        <w:t>s</w:t>
      </w:r>
      <w:proofErr w:type="spellEnd"/>
      <w:proofErr w:type="gramEnd"/>
    </w:p>
    <w:p w14:paraId="00A291C8" w14:textId="50B42210" w:rsidR="00F37598" w:rsidRPr="008A41D8" w:rsidRDefault="00F37598" w:rsidP="00F37598">
      <w:pPr>
        <w:pStyle w:val="Paragraphedeliste"/>
        <w:numPr>
          <w:ilvl w:val="1"/>
          <w:numId w:val="5"/>
        </w:numPr>
        <w:jc w:val="both"/>
      </w:pPr>
      <w:r w:rsidRPr="008A41D8">
        <w:t>Implication de partenaires internationaux</w:t>
      </w:r>
    </w:p>
    <w:p w14:paraId="4F490A84" w14:textId="3F93C286" w:rsidR="00F37598" w:rsidRPr="008A41D8" w:rsidRDefault="00F37598" w:rsidP="00F37598">
      <w:pPr>
        <w:pStyle w:val="Paragraphedeliste"/>
        <w:numPr>
          <w:ilvl w:val="1"/>
          <w:numId w:val="5"/>
        </w:numPr>
        <w:jc w:val="both"/>
      </w:pPr>
      <w:r w:rsidRPr="008A41D8">
        <w:t>Implication de partenaires socio-économiques</w:t>
      </w:r>
    </w:p>
    <w:p w14:paraId="229A53D7" w14:textId="3891DD73" w:rsidR="00DC7419" w:rsidRPr="008A41D8" w:rsidRDefault="00DC7419" w:rsidP="00F37598">
      <w:pPr>
        <w:pStyle w:val="Paragraphedeliste"/>
        <w:numPr>
          <w:ilvl w:val="1"/>
          <w:numId w:val="5"/>
        </w:numPr>
        <w:jc w:val="both"/>
      </w:pPr>
      <w:r w:rsidRPr="008A41D8">
        <w:t>Adossement aux plateformes</w:t>
      </w:r>
    </w:p>
    <w:p w14:paraId="6E374858" w14:textId="6EEE8CF5" w:rsidR="003D736B" w:rsidRPr="008A41D8" w:rsidRDefault="003D736B" w:rsidP="003D736B">
      <w:pPr>
        <w:pStyle w:val="Paragraphedeliste"/>
        <w:numPr>
          <w:ilvl w:val="0"/>
          <w:numId w:val="5"/>
        </w:numPr>
        <w:jc w:val="both"/>
      </w:pPr>
      <w:r w:rsidRPr="008A41D8">
        <w:t>Qualité de construction du projet (programmation, définition des indicateurs de succès)</w:t>
      </w:r>
    </w:p>
    <w:p w14:paraId="3CAE6495" w14:textId="0642D1AF" w:rsidR="003D736B" w:rsidRPr="008A41D8" w:rsidRDefault="003D736B" w:rsidP="003D736B">
      <w:pPr>
        <w:pStyle w:val="Paragraphedeliste"/>
        <w:numPr>
          <w:ilvl w:val="0"/>
          <w:numId w:val="5"/>
        </w:numPr>
        <w:jc w:val="both"/>
      </w:pPr>
      <w:r w:rsidRPr="008A41D8">
        <w:t>Construction et crédibilité du budget</w:t>
      </w:r>
    </w:p>
    <w:p w14:paraId="50041339" w14:textId="3A027AA4" w:rsidR="003D736B" w:rsidRPr="008A41D8" w:rsidRDefault="003D736B" w:rsidP="00952FD3">
      <w:pPr>
        <w:pStyle w:val="Paragraphedeliste"/>
        <w:numPr>
          <w:ilvl w:val="0"/>
          <w:numId w:val="5"/>
        </w:numPr>
        <w:jc w:val="both"/>
      </w:pPr>
      <w:r w:rsidRPr="008A41D8">
        <w:t>Critères d’éligibilité</w:t>
      </w:r>
    </w:p>
    <w:p w14:paraId="2C798E4D" w14:textId="02E23CD8" w:rsidR="00F37598" w:rsidRPr="008A41D8" w:rsidRDefault="00F37598" w:rsidP="00952FD3">
      <w:pPr>
        <w:pStyle w:val="Paragraphedeliste"/>
        <w:numPr>
          <w:ilvl w:val="1"/>
          <w:numId w:val="5"/>
        </w:numPr>
        <w:jc w:val="both"/>
      </w:pPr>
      <w:r w:rsidRPr="008A41D8">
        <w:t>Prise en compte de l’égalité des genres</w:t>
      </w:r>
    </w:p>
    <w:p w14:paraId="4E7F9608" w14:textId="695A64B8" w:rsidR="00F37598" w:rsidRPr="008A41D8" w:rsidRDefault="00F37598" w:rsidP="00952FD3">
      <w:pPr>
        <w:pStyle w:val="Paragraphedeliste"/>
        <w:numPr>
          <w:ilvl w:val="1"/>
          <w:numId w:val="5"/>
        </w:numPr>
        <w:jc w:val="both"/>
      </w:pPr>
      <w:r w:rsidRPr="008A41D8">
        <w:t>Science ouverte et gestion des données</w:t>
      </w:r>
    </w:p>
    <w:p w14:paraId="51D892CB" w14:textId="56065AB0" w:rsidR="00F37598" w:rsidRPr="008A41D8" w:rsidRDefault="00F37598" w:rsidP="00952FD3">
      <w:pPr>
        <w:pStyle w:val="Paragraphedeliste"/>
        <w:numPr>
          <w:ilvl w:val="1"/>
          <w:numId w:val="5"/>
        </w:numPr>
        <w:jc w:val="both"/>
      </w:pPr>
      <w:r w:rsidRPr="008A41D8">
        <w:t>Ouverture vers la société</w:t>
      </w:r>
    </w:p>
    <w:p w14:paraId="2967DC12" w14:textId="77777777" w:rsidR="00B654FD" w:rsidRDefault="00B654FD" w:rsidP="00AF60CA"/>
    <w:p w14:paraId="61E42356" w14:textId="243F3F30" w:rsidR="00186D4A" w:rsidRDefault="00AC3D48" w:rsidP="00AF60CA">
      <w:r>
        <w:t>(*) le terme interdisciplinaire est utilisé de manière générique et couvre les sens plus larges de pluri-, trans- et interdisciplinarité.</w:t>
      </w:r>
    </w:p>
    <w:p w14:paraId="1346AEF3" w14:textId="62C7B973" w:rsidR="00A70E86" w:rsidRDefault="0065406E" w:rsidP="00AF60CA">
      <w:r>
        <w:lastRenderedPageBreak/>
        <w:t>(*</w:t>
      </w:r>
      <w:r w:rsidR="00AC3D48">
        <w:t>*</w:t>
      </w:r>
      <w:r>
        <w:t>) les partenaires internationaux prioritaires de l’université de Lille sont actuellement les établissements membres du réseau 3i (Universités du Kent, de Gand et KU-</w:t>
      </w:r>
      <w:r w:rsidR="00806E02">
        <w:t>L</w:t>
      </w:r>
      <w:r>
        <w:t xml:space="preserve">euven), les établissements membres du réseau européen </w:t>
      </w:r>
      <w:proofErr w:type="spellStart"/>
      <w:r>
        <w:t>NeurotechEU</w:t>
      </w:r>
      <w:proofErr w:type="spellEnd"/>
      <w:r>
        <w:t xml:space="preserve"> (</w:t>
      </w:r>
      <w:hyperlink r:id="rId8" w:history="1">
        <w:r w:rsidR="00806E02" w:rsidRPr="00B90AB9">
          <w:rPr>
            <w:rStyle w:val="Lienhypertexte"/>
          </w:rPr>
          <w:t>https://theneurotech.eu/founders/</w:t>
        </w:r>
      </w:hyperlink>
      <w:r w:rsidR="00806E02">
        <w:t xml:space="preserve"> ), les établissements partenaires de chaires internationales, et l’Université de Liège cotutelle de l’UMR transfrontalière </w:t>
      </w:r>
      <w:proofErr w:type="spellStart"/>
      <w:r w:rsidR="00806E02">
        <w:t>BioEcoAgro</w:t>
      </w:r>
      <w:proofErr w:type="spellEnd"/>
      <w:r w:rsidR="00806E02">
        <w:t>.</w:t>
      </w:r>
    </w:p>
    <w:p w14:paraId="0032EAF2" w14:textId="2DAB88E7" w:rsidR="00516A46" w:rsidRDefault="008A41D8" w:rsidP="00516A46">
      <w:r w:rsidRPr="00516A46">
        <w:t>(***</w:t>
      </w:r>
      <w:proofErr w:type="gramStart"/>
      <w:r w:rsidRPr="00516A46">
        <w:t>)</w:t>
      </w:r>
      <w:r w:rsidR="00516A46">
        <w:t xml:space="preserve">  Hub</w:t>
      </w:r>
      <w:proofErr w:type="gramEnd"/>
      <w:r w:rsidR="00516A46">
        <w:t xml:space="preserve"> « Santé de précision » : François PATTOU (U1190) et Florence Pinet (U1167)</w:t>
      </w:r>
    </w:p>
    <w:p w14:paraId="3C6BEDA0" w14:textId="5D75A0A5" w:rsidR="00516A46" w:rsidRDefault="00516A46" w:rsidP="00516A46">
      <w:r>
        <w:t xml:space="preserve">           Hub « Planète » : Coralie SCHOEMAECKER (PC2A)</w:t>
      </w:r>
    </w:p>
    <w:p w14:paraId="1387F74F" w14:textId="77126EF5" w:rsidR="00516A46" w:rsidRDefault="00516A46" w:rsidP="00516A46">
      <w:r>
        <w:t xml:space="preserve">           Hub « Monde numérique » : Maan El BADAOUI (CRISTAL) et Arnaud MUSSOT (PHLAM)</w:t>
      </w:r>
    </w:p>
    <w:p w14:paraId="53B1BF5D" w14:textId="671B6E3C" w:rsidR="00516A46" w:rsidRDefault="00516A46" w:rsidP="00516A46">
      <w:r>
        <w:t xml:space="preserve">           Hub « Cultures, sociétés, pratiques en mutation » : Philippe SABOT (STL)</w:t>
      </w:r>
    </w:p>
    <w:p w14:paraId="7583DF61" w14:textId="77777777" w:rsidR="00BF5CF5" w:rsidRDefault="00BF5CF5" w:rsidP="00AF60CA"/>
    <w:sectPr w:rsidR="00BF5CF5" w:rsidSect="00952FD3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DDB1" w14:textId="77777777" w:rsidR="00825DB6" w:rsidRDefault="00825DB6" w:rsidP="00676900">
      <w:pPr>
        <w:spacing w:after="0" w:line="240" w:lineRule="auto"/>
      </w:pPr>
      <w:r>
        <w:separator/>
      </w:r>
    </w:p>
  </w:endnote>
  <w:endnote w:type="continuationSeparator" w:id="0">
    <w:p w14:paraId="36163519" w14:textId="77777777" w:rsidR="00825DB6" w:rsidRDefault="00825DB6" w:rsidP="0067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2A5F" w14:textId="77777777" w:rsidR="00825DB6" w:rsidRDefault="00825DB6" w:rsidP="00676900">
      <w:pPr>
        <w:spacing w:after="0" w:line="240" w:lineRule="auto"/>
      </w:pPr>
      <w:r>
        <w:separator/>
      </w:r>
    </w:p>
  </w:footnote>
  <w:footnote w:type="continuationSeparator" w:id="0">
    <w:p w14:paraId="591E36D9" w14:textId="77777777" w:rsidR="00825DB6" w:rsidRDefault="00825DB6" w:rsidP="0067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BF57" w14:textId="5745BAE6" w:rsidR="00676900" w:rsidRDefault="00516A46">
    <w:pPr>
      <w:pStyle w:val="En-tte"/>
    </w:pPr>
    <w:r>
      <w:rPr>
        <w:noProof/>
      </w:rPr>
      <w:drawing>
        <wp:inline distT="0" distB="0" distL="0" distR="0" wp14:anchorId="66E70188" wp14:editId="00CFD2DA">
          <wp:extent cx="1984794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77" cy="63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A48"/>
    <w:multiLevelType w:val="hybridMultilevel"/>
    <w:tmpl w:val="D34C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3620"/>
    <w:multiLevelType w:val="hybridMultilevel"/>
    <w:tmpl w:val="6B365D58"/>
    <w:lvl w:ilvl="0" w:tplc="94D6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41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47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8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2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0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E1B1B"/>
    <w:multiLevelType w:val="hybridMultilevel"/>
    <w:tmpl w:val="EBE07BCA"/>
    <w:lvl w:ilvl="0" w:tplc="B7888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D10CA"/>
    <w:multiLevelType w:val="hybridMultilevel"/>
    <w:tmpl w:val="56E05450"/>
    <w:lvl w:ilvl="0" w:tplc="CA76A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3260A"/>
    <w:multiLevelType w:val="hybridMultilevel"/>
    <w:tmpl w:val="E8721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CA"/>
    <w:rsid w:val="00017C73"/>
    <w:rsid w:val="00051D30"/>
    <w:rsid w:val="000602C6"/>
    <w:rsid w:val="000625AF"/>
    <w:rsid w:val="00087493"/>
    <w:rsid w:val="000A5655"/>
    <w:rsid w:val="000A623F"/>
    <w:rsid w:val="000C796D"/>
    <w:rsid w:val="000E733E"/>
    <w:rsid w:val="000F4314"/>
    <w:rsid w:val="00113998"/>
    <w:rsid w:val="0017566E"/>
    <w:rsid w:val="00181974"/>
    <w:rsid w:val="00186D4A"/>
    <w:rsid w:val="001D3512"/>
    <w:rsid w:val="001E5261"/>
    <w:rsid w:val="001E7DF5"/>
    <w:rsid w:val="00260B0B"/>
    <w:rsid w:val="0026418E"/>
    <w:rsid w:val="002B1858"/>
    <w:rsid w:val="002E7B23"/>
    <w:rsid w:val="002F1AD9"/>
    <w:rsid w:val="00316C8D"/>
    <w:rsid w:val="003477BF"/>
    <w:rsid w:val="0035077B"/>
    <w:rsid w:val="003651CA"/>
    <w:rsid w:val="0037131A"/>
    <w:rsid w:val="003B119A"/>
    <w:rsid w:val="003D736B"/>
    <w:rsid w:val="00410DBB"/>
    <w:rsid w:val="00413399"/>
    <w:rsid w:val="004212EB"/>
    <w:rsid w:val="00434F78"/>
    <w:rsid w:val="0044329C"/>
    <w:rsid w:val="004B6859"/>
    <w:rsid w:val="00516A46"/>
    <w:rsid w:val="005839A3"/>
    <w:rsid w:val="00586612"/>
    <w:rsid w:val="00591112"/>
    <w:rsid w:val="005A5285"/>
    <w:rsid w:val="005D29E1"/>
    <w:rsid w:val="005E385A"/>
    <w:rsid w:val="005F2BA1"/>
    <w:rsid w:val="0060786E"/>
    <w:rsid w:val="00622C7E"/>
    <w:rsid w:val="006437A0"/>
    <w:rsid w:val="0065406E"/>
    <w:rsid w:val="00662F08"/>
    <w:rsid w:val="00666D2C"/>
    <w:rsid w:val="00676900"/>
    <w:rsid w:val="0069422E"/>
    <w:rsid w:val="006B0350"/>
    <w:rsid w:val="007008BF"/>
    <w:rsid w:val="0071272D"/>
    <w:rsid w:val="007357E1"/>
    <w:rsid w:val="00737D68"/>
    <w:rsid w:val="007676D9"/>
    <w:rsid w:val="00782D96"/>
    <w:rsid w:val="00786909"/>
    <w:rsid w:val="00790422"/>
    <w:rsid w:val="007A7CAC"/>
    <w:rsid w:val="007C40D0"/>
    <w:rsid w:val="00806E02"/>
    <w:rsid w:val="00821190"/>
    <w:rsid w:val="00825DB6"/>
    <w:rsid w:val="0084691A"/>
    <w:rsid w:val="008770B3"/>
    <w:rsid w:val="008922FD"/>
    <w:rsid w:val="008A41D8"/>
    <w:rsid w:val="008A41DA"/>
    <w:rsid w:val="008C3F54"/>
    <w:rsid w:val="008F17F6"/>
    <w:rsid w:val="008F59F9"/>
    <w:rsid w:val="00926047"/>
    <w:rsid w:val="00934B9B"/>
    <w:rsid w:val="009379DC"/>
    <w:rsid w:val="00944DF6"/>
    <w:rsid w:val="00952FD3"/>
    <w:rsid w:val="009609F0"/>
    <w:rsid w:val="009624EA"/>
    <w:rsid w:val="00972086"/>
    <w:rsid w:val="009B3828"/>
    <w:rsid w:val="009D023E"/>
    <w:rsid w:val="009F2506"/>
    <w:rsid w:val="00A40FCD"/>
    <w:rsid w:val="00A70E86"/>
    <w:rsid w:val="00AA16F6"/>
    <w:rsid w:val="00AA25F7"/>
    <w:rsid w:val="00AC3D48"/>
    <w:rsid w:val="00AE7A44"/>
    <w:rsid w:val="00AF60CA"/>
    <w:rsid w:val="00AF6374"/>
    <w:rsid w:val="00B02DA0"/>
    <w:rsid w:val="00B50329"/>
    <w:rsid w:val="00B56B34"/>
    <w:rsid w:val="00B56E80"/>
    <w:rsid w:val="00B654FD"/>
    <w:rsid w:val="00BB385A"/>
    <w:rsid w:val="00BD1A03"/>
    <w:rsid w:val="00BF5CF5"/>
    <w:rsid w:val="00C26673"/>
    <w:rsid w:val="00C90E5E"/>
    <w:rsid w:val="00C95EEE"/>
    <w:rsid w:val="00D065F7"/>
    <w:rsid w:val="00D16E39"/>
    <w:rsid w:val="00D5398F"/>
    <w:rsid w:val="00D5711F"/>
    <w:rsid w:val="00D6504D"/>
    <w:rsid w:val="00D7288F"/>
    <w:rsid w:val="00D9240F"/>
    <w:rsid w:val="00D9614A"/>
    <w:rsid w:val="00DC01A1"/>
    <w:rsid w:val="00DC7419"/>
    <w:rsid w:val="00DD26F4"/>
    <w:rsid w:val="00DE2D55"/>
    <w:rsid w:val="00E32CBD"/>
    <w:rsid w:val="00E36364"/>
    <w:rsid w:val="00E427ED"/>
    <w:rsid w:val="00E71B9E"/>
    <w:rsid w:val="00EB0751"/>
    <w:rsid w:val="00EC22B7"/>
    <w:rsid w:val="00EC70D5"/>
    <w:rsid w:val="00EF40D3"/>
    <w:rsid w:val="00F07BB0"/>
    <w:rsid w:val="00F2402D"/>
    <w:rsid w:val="00F26F8E"/>
    <w:rsid w:val="00F33783"/>
    <w:rsid w:val="00F37598"/>
    <w:rsid w:val="00F80005"/>
    <w:rsid w:val="00F87952"/>
    <w:rsid w:val="00FB02F6"/>
    <w:rsid w:val="00FC379D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39298"/>
  <w15:chartTrackingRefBased/>
  <w15:docId w15:val="{06E565C4-5928-4A95-8112-855D155B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2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B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92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6F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F59F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432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2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2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32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329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06E0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6E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900"/>
  </w:style>
  <w:style w:type="paragraph" w:styleId="Pieddepage">
    <w:name w:val="footer"/>
    <w:basedOn w:val="Normal"/>
    <w:link w:val="PieddepageCar"/>
    <w:uiPriority w:val="99"/>
    <w:unhideWhenUsed/>
    <w:rsid w:val="0067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eurotech.eu/found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9648-D8E5-484E-98EF-BB277A83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Scheherazade Boudaoud</dc:creator>
  <cp:keywords/>
  <dc:description/>
  <cp:lastModifiedBy>Jean-Christophe Duhamel</cp:lastModifiedBy>
  <cp:revision>2</cp:revision>
  <dcterms:created xsi:type="dcterms:W3CDTF">2023-03-10T17:58:00Z</dcterms:created>
  <dcterms:modified xsi:type="dcterms:W3CDTF">2023-03-10T17:58:00Z</dcterms:modified>
</cp:coreProperties>
</file>